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B" w:rsidRDefault="00972C4B" w:rsidP="00972C4B">
      <w:pPr>
        <w:jc w:val="center"/>
        <w:rPr>
          <w:rFonts w:ascii="Arial" w:hAnsi="Arial" w:cs="Arial"/>
          <w:b/>
          <w:iCs/>
          <w:sz w:val="32"/>
          <w:szCs w:val="28"/>
        </w:rPr>
      </w:pPr>
    </w:p>
    <w:p w:rsidR="00972C4B" w:rsidRPr="00380E91" w:rsidRDefault="00972C4B" w:rsidP="00972C4B">
      <w:pPr>
        <w:jc w:val="center"/>
        <w:rPr>
          <w:rFonts w:ascii="Arial" w:hAnsi="Arial" w:cs="Arial"/>
          <w:b/>
          <w:iCs/>
          <w:sz w:val="32"/>
          <w:szCs w:val="28"/>
        </w:rPr>
      </w:pPr>
      <w:r w:rsidRPr="00380E91">
        <w:rPr>
          <w:rFonts w:ascii="Arial" w:hAnsi="Arial" w:cs="Arial"/>
          <w:b/>
          <w:iCs/>
          <w:sz w:val="32"/>
          <w:szCs w:val="28"/>
        </w:rPr>
        <w:t>ADENDA No. 0</w:t>
      </w:r>
      <w:r w:rsidR="00AD7764">
        <w:rPr>
          <w:rFonts w:ascii="Arial" w:hAnsi="Arial" w:cs="Arial"/>
          <w:b/>
          <w:iCs/>
          <w:sz w:val="32"/>
          <w:szCs w:val="28"/>
        </w:rPr>
        <w:t>7</w:t>
      </w:r>
    </w:p>
    <w:p w:rsidR="00972C4B" w:rsidRPr="00380E91" w:rsidRDefault="00972C4B" w:rsidP="00972C4B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380E91">
        <w:rPr>
          <w:rFonts w:ascii="Arial" w:hAnsi="Arial" w:cs="Arial"/>
          <w:b/>
          <w:iCs/>
          <w:sz w:val="28"/>
          <w:szCs w:val="24"/>
        </w:rPr>
        <w:t xml:space="preserve">INVITACIÓN PÚBLICA DE OFERTAS No. </w:t>
      </w:r>
      <w:r w:rsidRPr="00AC293D">
        <w:rPr>
          <w:rFonts w:ascii="Arial" w:hAnsi="Arial" w:cs="Arial"/>
          <w:b/>
          <w:iCs/>
          <w:sz w:val="36"/>
          <w:szCs w:val="24"/>
        </w:rPr>
        <w:t>0149</w:t>
      </w:r>
      <w:r w:rsidRPr="00380E91"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972C4B" w:rsidRPr="00676BE7" w:rsidRDefault="00972C4B" w:rsidP="00972C4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972C4B" w:rsidRPr="00380E91" w:rsidRDefault="00972C4B" w:rsidP="00972C4B">
      <w:pPr>
        <w:jc w:val="both"/>
        <w:rPr>
          <w:rFonts w:ascii="Arial" w:hAnsi="Arial" w:cs="Arial"/>
          <w:iCs/>
          <w:sz w:val="24"/>
        </w:rPr>
      </w:pPr>
      <w:r w:rsidRPr="00380E91">
        <w:rPr>
          <w:rFonts w:ascii="Arial" w:hAnsi="Arial" w:cs="Arial"/>
          <w:b/>
          <w:iCs/>
          <w:sz w:val="24"/>
        </w:rPr>
        <w:t>OBJETO:</w:t>
      </w:r>
      <w:r w:rsidRPr="00380E91">
        <w:rPr>
          <w:rFonts w:ascii="Arial" w:hAnsi="Arial" w:cs="Arial"/>
          <w:sz w:val="24"/>
          <w:lang w:val="es-ES"/>
        </w:rPr>
        <w:t xml:space="preserve"> </w:t>
      </w:r>
      <w:r w:rsidRPr="00380E91"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972C4B" w:rsidRPr="00380E91" w:rsidRDefault="00972C4B" w:rsidP="00972C4B">
      <w:pPr>
        <w:jc w:val="both"/>
        <w:rPr>
          <w:rFonts w:ascii="Arial" w:hAnsi="Arial" w:cs="Arial"/>
          <w:sz w:val="24"/>
        </w:rPr>
      </w:pPr>
      <w:r w:rsidRPr="00380E91">
        <w:rPr>
          <w:rFonts w:ascii="Arial" w:hAnsi="Arial" w:cs="Arial"/>
          <w:b/>
          <w:iCs/>
          <w:sz w:val="24"/>
        </w:rPr>
        <w:t>PRESUPUESTO OFICIAL:</w:t>
      </w:r>
      <w:r w:rsidRPr="00380E91">
        <w:rPr>
          <w:rFonts w:ascii="Arial" w:hAnsi="Arial" w:cs="Arial"/>
          <w:iCs/>
          <w:sz w:val="24"/>
          <w:lang w:val="es-ES"/>
        </w:rPr>
        <w:t xml:space="preserve"> El presupuesto oficial para el presente proceso es la suma de NOVENTA Y OCHO MILLONES  QUINIENTOS CINCUENTA Y CUATRO MIL NOVECIENTOS CUARE</w:t>
      </w:r>
      <w:r>
        <w:rPr>
          <w:rFonts w:ascii="Arial" w:hAnsi="Arial" w:cs="Arial"/>
          <w:iCs/>
          <w:sz w:val="24"/>
          <w:lang w:val="es-ES"/>
        </w:rPr>
        <w:t>NT</w:t>
      </w:r>
      <w:r w:rsidRPr="00380E91">
        <w:rPr>
          <w:rFonts w:ascii="Arial" w:hAnsi="Arial" w:cs="Arial"/>
          <w:iCs/>
          <w:sz w:val="24"/>
          <w:lang w:val="es-ES"/>
        </w:rPr>
        <w:t>A Y TRES PESOS (</w:t>
      </w:r>
      <w:r w:rsidRPr="00380E91">
        <w:rPr>
          <w:rFonts w:ascii="Arial" w:hAnsi="Arial" w:cs="Arial"/>
          <w:sz w:val="24"/>
        </w:rPr>
        <w:t>$98.554.943</w:t>
      </w:r>
      <w:r w:rsidRPr="00380E91">
        <w:rPr>
          <w:sz w:val="24"/>
        </w:rPr>
        <w:t xml:space="preserve">) </w:t>
      </w:r>
      <w:r w:rsidRPr="00380E91">
        <w:rPr>
          <w:rFonts w:ascii="Arial" w:hAnsi="Arial" w:cs="Arial"/>
          <w:sz w:val="24"/>
          <w:lang w:val="es-MX"/>
        </w:rPr>
        <w:t xml:space="preserve">incluido IVA, transporte, cargue, descargue </w:t>
      </w:r>
      <w:r w:rsidRPr="00380E91">
        <w:rPr>
          <w:rFonts w:ascii="Arial" w:hAnsi="Arial" w:cs="Arial"/>
          <w:iCs/>
          <w:sz w:val="24"/>
          <w:lang w:val="es-ES"/>
        </w:rPr>
        <w:t xml:space="preserve">y la entrega de los suministros en los municipio de </w:t>
      </w:r>
      <w:r w:rsidRPr="00380E91">
        <w:rPr>
          <w:rFonts w:ascii="Arial" w:hAnsi="Arial" w:cs="Arial"/>
          <w:sz w:val="24"/>
        </w:rPr>
        <w:t>AGUADAS, ANSERMA, BELALCAZAR, CHINCHINA, MANZANARES, MARMATO, NEIRA Y RIOSUCIO, CALDAS.</w:t>
      </w:r>
    </w:p>
    <w:p w:rsidR="00972C4B" w:rsidRDefault="00972C4B" w:rsidP="00972C4B">
      <w:pPr>
        <w:jc w:val="both"/>
        <w:rPr>
          <w:rFonts w:ascii="Arial" w:hAnsi="Arial" w:cs="Arial"/>
        </w:rPr>
      </w:pPr>
    </w:p>
    <w:p w:rsidR="00A24337" w:rsidRDefault="00972C4B" w:rsidP="00972C4B">
      <w:pPr>
        <w:jc w:val="both"/>
        <w:rPr>
          <w:rFonts w:ascii="Arial" w:hAnsi="Arial" w:cs="Arial"/>
          <w:sz w:val="24"/>
          <w:lang w:val="es-ES"/>
        </w:rPr>
      </w:pPr>
      <w:r w:rsidRPr="00380E91">
        <w:rPr>
          <w:rFonts w:ascii="Arial" w:hAnsi="Arial" w:cs="Arial"/>
          <w:sz w:val="24"/>
          <w:lang w:val="es-ES"/>
        </w:rPr>
        <w:t xml:space="preserve">A través de la presente </w:t>
      </w:r>
      <w:r w:rsidR="00A24337">
        <w:rPr>
          <w:rFonts w:ascii="Arial" w:hAnsi="Arial" w:cs="Arial"/>
          <w:sz w:val="24"/>
          <w:lang w:val="es-ES"/>
        </w:rPr>
        <w:t>nos permitimos</w:t>
      </w:r>
      <w:r w:rsidRPr="00380E91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dar respuesta a la inquietud allegada </w:t>
      </w:r>
      <w:r w:rsidR="00A24337">
        <w:rPr>
          <w:rFonts w:ascii="Arial" w:hAnsi="Arial" w:cs="Arial"/>
          <w:sz w:val="24"/>
          <w:lang w:val="es-ES"/>
        </w:rPr>
        <w:t>por medio del documento calendado el día 17 de octubre de 2012, por parte del proponente HELMAN S.A.S.</w:t>
      </w:r>
    </w:p>
    <w:p w:rsidR="00A24337" w:rsidRDefault="00972C4B" w:rsidP="00972C4B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efectos de lo anterior</w:t>
      </w:r>
      <w:r w:rsidRPr="00380E91">
        <w:rPr>
          <w:rFonts w:ascii="Arial" w:hAnsi="Arial" w:cs="Arial"/>
          <w:sz w:val="24"/>
          <w:lang w:val="es-ES"/>
        </w:rPr>
        <w:t xml:space="preserve"> se procede </w:t>
      </w:r>
      <w:r w:rsidR="00A24337">
        <w:rPr>
          <w:rFonts w:ascii="Arial" w:hAnsi="Arial" w:cs="Arial"/>
          <w:sz w:val="24"/>
          <w:lang w:val="es-ES"/>
        </w:rPr>
        <w:t xml:space="preserve">a anexar el antecitado documento: </w:t>
      </w:r>
    </w:p>
    <w:p w:rsidR="00A24337" w:rsidRPr="00A24337" w:rsidRDefault="00A24337" w:rsidP="00A24337">
      <w:pPr>
        <w:rPr>
          <w:rFonts w:ascii="Arial" w:hAnsi="Arial" w:cs="Arial"/>
          <w:sz w:val="24"/>
          <w:lang w:val="es-ES"/>
        </w:rPr>
      </w:pPr>
    </w:p>
    <w:p w:rsidR="00A24337" w:rsidRPr="00A24337" w:rsidRDefault="00A24337" w:rsidP="00A24337">
      <w:pPr>
        <w:rPr>
          <w:rFonts w:ascii="Arial" w:hAnsi="Arial" w:cs="Arial"/>
          <w:sz w:val="24"/>
          <w:lang w:val="es-ES"/>
        </w:rPr>
      </w:pPr>
    </w:p>
    <w:p w:rsidR="00A24337" w:rsidRPr="00A24337" w:rsidRDefault="00A24337" w:rsidP="00A24337">
      <w:pPr>
        <w:rPr>
          <w:rFonts w:ascii="Arial" w:hAnsi="Arial" w:cs="Arial"/>
          <w:sz w:val="24"/>
          <w:lang w:val="es-ES"/>
        </w:rPr>
      </w:pPr>
    </w:p>
    <w:p w:rsidR="00A24337" w:rsidRPr="00A24337" w:rsidRDefault="00A24337" w:rsidP="00A24337">
      <w:pPr>
        <w:rPr>
          <w:rFonts w:ascii="Arial" w:hAnsi="Arial" w:cs="Arial"/>
          <w:sz w:val="24"/>
          <w:lang w:val="es-ES"/>
        </w:rPr>
      </w:pPr>
    </w:p>
    <w:p w:rsidR="00A24337" w:rsidRPr="00A24337" w:rsidRDefault="00A24337" w:rsidP="00A24337">
      <w:pPr>
        <w:rPr>
          <w:rFonts w:ascii="Arial" w:hAnsi="Arial" w:cs="Arial"/>
          <w:sz w:val="24"/>
          <w:lang w:val="es-ES"/>
        </w:rPr>
      </w:pPr>
    </w:p>
    <w:p w:rsidR="00A24337" w:rsidRDefault="00A24337" w:rsidP="00A24337">
      <w:pPr>
        <w:rPr>
          <w:rFonts w:ascii="Arial" w:hAnsi="Arial" w:cs="Arial"/>
          <w:sz w:val="24"/>
          <w:lang w:val="es-ES"/>
        </w:rPr>
      </w:pPr>
    </w:p>
    <w:p w:rsidR="00972C4B" w:rsidRPr="00A24337" w:rsidRDefault="00A24337" w:rsidP="00A24337">
      <w:pPr>
        <w:jc w:val="center"/>
        <w:rPr>
          <w:rFonts w:ascii="Arial" w:hAnsi="Arial" w:cs="Arial"/>
          <w:lang w:val="es-ES"/>
        </w:rPr>
      </w:pPr>
      <w:r w:rsidRPr="00A24337">
        <w:rPr>
          <w:rFonts w:ascii="Arial" w:hAnsi="Arial" w:cs="Arial"/>
          <w:lang w:val="es-ES"/>
        </w:rPr>
        <w:t>(VER PÁGINA SIGUIENTE)</w:t>
      </w:r>
    </w:p>
    <w:p w:rsidR="00972C4B" w:rsidRPr="00380E91" w:rsidRDefault="00A24337" w:rsidP="00A24337">
      <w:pPr>
        <w:ind w:right="6"/>
        <w:jc w:val="center"/>
        <w:rPr>
          <w:rFonts w:ascii="Arial" w:hAnsi="Arial" w:cs="Arial"/>
          <w:color w:val="0D0D0D"/>
          <w:sz w:val="24"/>
        </w:rPr>
      </w:pPr>
      <w:r>
        <w:rPr>
          <w:rFonts w:ascii="Arial" w:hAnsi="Arial" w:cs="Arial"/>
          <w:noProof/>
          <w:color w:val="0D0D0D"/>
          <w:sz w:val="24"/>
          <w:lang w:eastAsia="es-CO"/>
        </w:rPr>
        <w:lastRenderedPageBreak/>
        <w:drawing>
          <wp:inline distT="0" distB="0" distL="0" distR="0">
            <wp:extent cx="6546850" cy="8464550"/>
            <wp:effectExtent l="19050" t="0" r="6350" b="0"/>
            <wp:docPr id="1" name="Imagen 1" descr="C:\Users\linam\Documents\Scanned Documents\Imagen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6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" t="2694" r="3704" b="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4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B" w:rsidRDefault="00972C4B" w:rsidP="00972C4B">
      <w:pPr>
        <w:ind w:right="6"/>
        <w:jc w:val="both"/>
        <w:rPr>
          <w:rFonts w:ascii="Arial" w:hAnsi="Arial" w:cs="Arial"/>
          <w:color w:val="0D0D0D"/>
        </w:rPr>
      </w:pPr>
    </w:p>
    <w:p w:rsidR="00A24337" w:rsidRDefault="00A24337" w:rsidP="00972C4B">
      <w:pPr>
        <w:jc w:val="both"/>
        <w:rPr>
          <w:rFonts w:ascii="Arial" w:hAnsi="Arial" w:cs="Arial"/>
          <w:color w:val="0D0D0D"/>
          <w:sz w:val="24"/>
        </w:rPr>
      </w:pPr>
    </w:p>
    <w:p w:rsidR="00AC293D" w:rsidRDefault="00AC293D" w:rsidP="00C554D9">
      <w:pPr>
        <w:jc w:val="both"/>
        <w:rPr>
          <w:rFonts w:ascii="Arial" w:hAnsi="Arial" w:cs="Arial"/>
          <w:color w:val="0D0D0D"/>
          <w:sz w:val="24"/>
        </w:rPr>
      </w:pPr>
      <w:r>
        <w:rPr>
          <w:rFonts w:ascii="Arial" w:hAnsi="Arial" w:cs="Arial"/>
          <w:color w:val="0D0D0D"/>
          <w:sz w:val="24"/>
        </w:rPr>
        <w:t>Por lo anterior,</w:t>
      </w:r>
      <w:r w:rsidR="00A24337">
        <w:rPr>
          <w:rFonts w:ascii="Arial" w:hAnsi="Arial" w:cs="Arial"/>
          <w:color w:val="0D0D0D"/>
          <w:sz w:val="24"/>
        </w:rPr>
        <w:t xml:space="preserve"> la Entidad se permite citar un acápite del </w:t>
      </w:r>
      <w:r w:rsidR="00C554D9" w:rsidRPr="00C554D9">
        <w:rPr>
          <w:rFonts w:ascii="Arial" w:hAnsi="Arial" w:cs="Arial"/>
          <w:color w:val="0D0D0D"/>
          <w:sz w:val="24"/>
        </w:rPr>
        <w:t>MANUAL</w:t>
      </w:r>
      <w:r w:rsidR="00C554D9">
        <w:rPr>
          <w:rFonts w:ascii="Arial" w:hAnsi="Arial" w:cs="Arial"/>
          <w:color w:val="0D0D0D"/>
          <w:sz w:val="24"/>
        </w:rPr>
        <w:t xml:space="preserve"> </w:t>
      </w:r>
      <w:r w:rsidR="00C554D9" w:rsidRPr="00C554D9">
        <w:rPr>
          <w:rFonts w:ascii="Arial" w:hAnsi="Arial" w:cs="Arial"/>
          <w:color w:val="0D0D0D"/>
          <w:sz w:val="24"/>
        </w:rPr>
        <w:t>DE ALTERNATIVAS JURIDICAS PARA FORMALIZAR LAS</w:t>
      </w:r>
      <w:r w:rsidR="00C554D9">
        <w:rPr>
          <w:rFonts w:ascii="Arial" w:hAnsi="Arial" w:cs="Arial"/>
          <w:color w:val="0D0D0D"/>
          <w:sz w:val="24"/>
        </w:rPr>
        <w:t xml:space="preserve"> ALIANZAS PÚ</w:t>
      </w:r>
      <w:r w:rsidR="00C554D9" w:rsidRPr="00C554D9">
        <w:rPr>
          <w:rFonts w:ascii="Arial" w:hAnsi="Arial" w:cs="Arial"/>
          <w:color w:val="0D0D0D"/>
          <w:sz w:val="24"/>
        </w:rPr>
        <w:t>BLICO – PRIVADAS PARA EL DISTRITO CAPITAL</w:t>
      </w:r>
      <w:r w:rsidR="00C554D9">
        <w:rPr>
          <w:rFonts w:ascii="Arial" w:hAnsi="Arial" w:cs="Arial"/>
          <w:color w:val="0D0D0D"/>
          <w:sz w:val="24"/>
        </w:rPr>
        <w:t>.</w:t>
      </w:r>
    </w:p>
    <w:p w:rsidR="00A24337" w:rsidRDefault="00C554D9" w:rsidP="00AC293D">
      <w:pPr>
        <w:jc w:val="both"/>
        <w:rPr>
          <w:rFonts w:ascii="Arial" w:hAnsi="Arial" w:cs="Arial"/>
          <w:color w:val="0D0D0D"/>
          <w:sz w:val="24"/>
        </w:rPr>
      </w:pPr>
      <w:r>
        <w:rPr>
          <w:rFonts w:ascii="Arial" w:hAnsi="Arial" w:cs="Arial"/>
          <w:color w:val="0D0D0D"/>
          <w:sz w:val="24"/>
        </w:rPr>
        <w:t>“(…)</w:t>
      </w:r>
      <w:r w:rsidR="00AC293D">
        <w:rPr>
          <w:rFonts w:ascii="Arial" w:hAnsi="Arial" w:cs="Arial"/>
          <w:color w:val="0D0D0D"/>
          <w:sz w:val="24"/>
        </w:rPr>
        <w:t xml:space="preserve">1. </w:t>
      </w:r>
      <w:r w:rsidR="00AC293D" w:rsidRPr="00AC293D">
        <w:rPr>
          <w:rFonts w:ascii="Arial" w:hAnsi="Arial" w:cs="Arial"/>
          <w:color w:val="0D0D0D"/>
          <w:sz w:val="24"/>
        </w:rPr>
        <w:t>ARTICULACIÓN ENTRE EL MODELO DE ALIANZA PÚBLICO – PRIVADA Y</w:t>
      </w:r>
      <w:r w:rsidR="00AC293D">
        <w:rPr>
          <w:rFonts w:ascii="Arial" w:hAnsi="Arial" w:cs="Arial"/>
          <w:color w:val="0D0D0D"/>
          <w:sz w:val="24"/>
        </w:rPr>
        <w:t xml:space="preserve"> </w:t>
      </w:r>
      <w:r w:rsidR="00AC293D" w:rsidRPr="00AC293D">
        <w:rPr>
          <w:rFonts w:ascii="Arial" w:hAnsi="Arial" w:cs="Arial"/>
          <w:color w:val="0D0D0D"/>
          <w:sz w:val="24"/>
        </w:rPr>
        <w:t>LA NORMATIVIDAD NACIONAL VIGENTE</w:t>
      </w:r>
      <w:r w:rsidR="00AC293D">
        <w:rPr>
          <w:rFonts w:ascii="Arial" w:hAnsi="Arial" w:cs="Arial"/>
          <w:color w:val="0D0D0D"/>
          <w:sz w:val="24"/>
        </w:rPr>
        <w:t>:</w:t>
      </w:r>
    </w:p>
    <w:p w:rsidR="00A24337" w:rsidRDefault="00A24337" w:rsidP="00C554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  <w:r>
        <w:rPr>
          <w:rFonts w:ascii="NimbusSansL-Regu" w:eastAsiaTheme="minorHAnsi" w:hAnsi="NimbusSansL-Regu" w:cs="NimbusSansL-Regu"/>
          <w:sz w:val="24"/>
          <w:szCs w:val="24"/>
        </w:rPr>
        <w:t>En materia de participación y contratación estatal la Constitución Colombiana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garantiza la </w:t>
      </w:r>
      <w:r>
        <w:rPr>
          <w:rFonts w:ascii="NimbusSansL-Regu" w:eastAsiaTheme="minorHAnsi" w:hAnsi="NimbusSansL-Regu" w:cs="NimbusSansL-Regu"/>
          <w:sz w:val="24"/>
          <w:szCs w:val="24"/>
        </w:rPr>
        <w:t>colaboración de los ciudadanos como un principio fundamental que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ilumina todo el actuar social y colectivo en el Estado Social de Derecho, y que,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persigue un incr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emento histórico cuantitativo y </w:t>
      </w:r>
      <w:r>
        <w:rPr>
          <w:rFonts w:ascii="NimbusSansL-Regu" w:eastAsiaTheme="minorHAnsi" w:hAnsi="NimbusSansL-Regu" w:cs="NimbusSansL-Regu"/>
          <w:sz w:val="24"/>
          <w:szCs w:val="24"/>
        </w:rPr>
        <w:t>cualitativo de las oportunidades de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los ciudadanos de tomar parte en los asuntos que comprometen los intereses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generales. Desde el punto de vista del ciudadano, la participación democrática es</w:t>
      </w:r>
      <w:r w:rsidR="00C554D9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un derechodeber,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toda vez que le concede la facultad y a la vez la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responsabilidad de hacerse presente en la dinámica social que involucra intereses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sL-Regu" w:eastAsiaTheme="minorHAnsi" w:hAnsi="NimbusSansL-Regu" w:cs="NimbusSansL-Regu"/>
          <w:sz w:val="24"/>
          <w:szCs w:val="24"/>
        </w:rPr>
        <w:t>colectivos.</w:t>
      </w:r>
    </w:p>
    <w:p w:rsidR="00C554D9" w:rsidRDefault="00C554D9" w:rsidP="00AC293D">
      <w:pPr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</w:p>
    <w:p w:rsidR="00972C4B" w:rsidRDefault="00A24337" w:rsidP="00AC293D">
      <w:pPr>
        <w:ind w:left="708"/>
        <w:jc w:val="both"/>
        <w:rPr>
          <w:rFonts w:ascii="Arial" w:hAnsi="Arial" w:cs="Arial"/>
          <w:color w:val="0D0D0D"/>
          <w:sz w:val="24"/>
        </w:rPr>
      </w:pPr>
      <w:r>
        <w:rPr>
          <w:rFonts w:ascii="NimbusSansL-Regu" w:eastAsiaTheme="minorHAnsi" w:hAnsi="NimbusSansL-Regu" w:cs="NimbusSansL-Regu"/>
          <w:sz w:val="24"/>
          <w:szCs w:val="24"/>
        </w:rPr>
        <w:t>Sobre esta dialéctica de la relación Estado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 xml:space="preserve"> - </w:t>
      </w:r>
      <w:r>
        <w:rPr>
          <w:rFonts w:ascii="NimbusSansL-Regu" w:eastAsiaTheme="minorHAnsi" w:hAnsi="NimbusSansL-Regu" w:cs="NimbusSansL-Regu"/>
          <w:sz w:val="24"/>
          <w:szCs w:val="24"/>
        </w:rPr>
        <w:t>ciudad</w:t>
      </w:r>
      <w:r w:rsidR="00345ADD">
        <w:rPr>
          <w:rFonts w:ascii="NimbusSansL-Regu" w:eastAsiaTheme="minorHAnsi" w:hAnsi="NimbusSansL-Regu" w:cs="NimbusSansL-Regu"/>
          <w:sz w:val="24"/>
          <w:szCs w:val="24"/>
        </w:rPr>
        <w:t>ano en lo que concierne a dichos procesos la jurisprudencia ha dicho:</w:t>
      </w:r>
    </w:p>
    <w:p w:rsidR="00345ADD" w:rsidRDefault="00345ADD" w:rsidP="00C554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L-ReguItal" w:eastAsiaTheme="minorHAnsi" w:hAnsi="NimbusSanL-ReguItal" w:cs="NimbusSanL-ReguItal"/>
          <w:i/>
          <w:iCs/>
          <w:sz w:val="24"/>
          <w:szCs w:val="24"/>
        </w:rPr>
      </w:pPr>
      <w:r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“Las relaciones entre el Estado y los particulares se desenvuelven en un marco jurídico democrático y participativo como claramente aparece en el preámbulo de la Constitución y es reiterado en el título I de los principios fundamentales. El artículo 1 de la Constitución define a Colombia como un estado social de derecho organizado en forma de república democrática participativa y pluralista, mientras que en el artículo 2° establece dentro de los fines esenciales del Estado el de "facilitar la participación de todos en las decisiones que los afectan y en la vida económica, política, administrativa y cultural de la nación". Los principios de la soberanía popular (CP.art.3°), de primacía de los derechos inalienables de la persona (CP art.5°) y de respeto a la autodeterminación de los pueblos (CP art.9°) constituyen junto con los anteriores el ideario axiológico que identifica el</w:t>
      </w:r>
      <w:r w:rsidR="00C554D9"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 xml:space="preserve"> </w:t>
      </w:r>
      <w:r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sistema jurídico colombiano y le otorga su indiscutible carácter democrático y participativo, presente en los distintos escenarios, materias y procesos de la vida institucional y social del país.</w:t>
      </w:r>
      <w:r w:rsidR="00C554D9"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”</w:t>
      </w:r>
    </w:p>
    <w:p w:rsidR="00C554D9" w:rsidRDefault="00C554D9" w:rsidP="00AC29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</w:p>
    <w:p w:rsidR="00345ADD" w:rsidRDefault="00345ADD" w:rsidP="00AC29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  <w:r>
        <w:rPr>
          <w:rFonts w:ascii="NimbusSansL-Regu" w:eastAsiaTheme="minorHAnsi" w:hAnsi="NimbusSansL-Regu" w:cs="NimbusSansL-Regu"/>
          <w:sz w:val="24"/>
          <w:szCs w:val="24"/>
        </w:rPr>
        <w:t>En desarrollo de lo dispuesto en la Constitución se expiden leyes que garantizan la participación ciudadana en todos los ámbitos de desarrollo de las políticas estatales y de las diferentes maneras como éstos se pueden relacionar contractualmente con el Estado. Dentro de las normas señaladas podemos mencionar entre otras a la ley 80 de 1993, la Ley 134 de 1994, la Ley 489 de 1998, el Decreto 2170 de 2002, la Ley 850 de 2003 y el Decreto 2434 de 2006.</w:t>
      </w:r>
    </w:p>
    <w:p w:rsidR="00345ADD" w:rsidRDefault="00345ADD" w:rsidP="00AC29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</w:p>
    <w:p w:rsidR="00345ADD" w:rsidRDefault="00AC293D" w:rsidP="00AC29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  <w:r>
        <w:rPr>
          <w:rFonts w:ascii="NimbusSansL-Regu" w:eastAsiaTheme="minorHAnsi" w:hAnsi="NimbusSansL-Regu" w:cs="NimbusSansL-Regu"/>
          <w:sz w:val="24"/>
          <w:szCs w:val="24"/>
        </w:rPr>
        <w:t xml:space="preserve">En lo que respecta a la </w:t>
      </w:r>
      <w:r w:rsidR="00C554D9">
        <w:rPr>
          <w:rFonts w:ascii="NimbusSansL-Regu" w:eastAsiaTheme="minorHAnsi" w:hAnsi="NimbusSansL-Regu" w:cs="NimbusSansL-Regu"/>
          <w:sz w:val="24"/>
          <w:szCs w:val="24"/>
        </w:rPr>
        <w:t xml:space="preserve">Ley 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80 de 1993, ésta define en el artículo 32 como contratos estatales </w:t>
      </w:r>
      <w:r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“todos los actos jurídicos generadores de obligaciones que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celebren las entidades a que se refiere el presente estatuto, previstos en el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derecho privado o en disposiciones especiales, o derivados del ejercicio de la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  <w:r>
        <w:rPr>
          <w:rFonts w:ascii="NimbusSanL-ReguItal" w:eastAsiaTheme="minorHAnsi" w:hAnsi="NimbusSanL-ReguItal" w:cs="NimbusSanL-ReguItal"/>
          <w:i/>
          <w:iCs/>
          <w:sz w:val="24"/>
          <w:szCs w:val="24"/>
        </w:rPr>
        <w:t>autonomía de la voluntad”</w:t>
      </w:r>
      <w:r>
        <w:rPr>
          <w:rFonts w:ascii="NimbusSansL-Regu" w:eastAsiaTheme="minorHAnsi" w:hAnsi="NimbusSansL-Regu" w:cs="NimbusSansL-Regu"/>
          <w:sz w:val="24"/>
          <w:szCs w:val="24"/>
        </w:rPr>
        <w:t>, así como los que, a título enunciativo, ella misma define.</w:t>
      </w:r>
    </w:p>
    <w:p w:rsidR="00AC293D" w:rsidRDefault="00AC293D" w:rsidP="00AC29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</w:p>
    <w:p w:rsidR="00AC293D" w:rsidRDefault="00AC293D" w:rsidP="00C554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  <w:r>
        <w:rPr>
          <w:rFonts w:ascii="NimbusSansL-Regu" w:eastAsiaTheme="minorHAnsi" w:hAnsi="NimbusSansL-Regu" w:cs="NimbusSansL-Regu"/>
          <w:sz w:val="24"/>
          <w:szCs w:val="24"/>
        </w:rPr>
        <w:t xml:space="preserve">Lo anterior significa que las </w:t>
      </w:r>
      <w:r w:rsidRPr="00C554D9">
        <w:rPr>
          <w:rFonts w:ascii="NimbusSansL-Regu" w:eastAsiaTheme="minorHAnsi" w:hAnsi="NimbusSansL-Regu" w:cs="NimbusSansL-Regu"/>
          <w:sz w:val="24"/>
          <w:szCs w:val="24"/>
          <w:u w:val="single"/>
        </w:rPr>
        <w:t>entidades estatales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al momento de </w:t>
      </w:r>
      <w:r w:rsidRPr="00C554D9">
        <w:rPr>
          <w:rFonts w:ascii="NimbusSansL-Regu" w:eastAsiaTheme="minorHAnsi" w:hAnsi="NimbusSansL-Regu" w:cs="NimbusSansL-Regu"/>
          <w:sz w:val="24"/>
          <w:szCs w:val="24"/>
          <w:u w:val="single"/>
        </w:rPr>
        <w:t xml:space="preserve">construir alianzas con el sector privado, pueden acudir a una infinidad de posibilidades contractuales, que van más allá de las descritas en la normatividad vigente, lo cual siempre será posible de realizar, mientras no se </w:t>
      </w:r>
      <w:r w:rsidRPr="00C554D9">
        <w:rPr>
          <w:rFonts w:ascii="NimbusSansL-Regu" w:eastAsiaTheme="minorHAnsi" w:hAnsi="NimbusSansL-Regu" w:cs="NimbusSansL-Regu"/>
          <w:sz w:val="24"/>
          <w:szCs w:val="24"/>
          <w:u w:val="single"/>
        </w:rPr>
        <w:lastRenderedPageBreak/>
        <w:t>contravengan las normas constitucionales o legales dispuestas en el ordenamiento jurídico colombiano.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(…)”</w:t>
      </w:r>
      <w:r w:rsidR="00C554D9">
        <w:rPr>
          <w:rFonts w:ascii="NimbusSansL-Regu" w:eastAsiaTheme="minorHAnsi" w:hAnsi="NimbusSansL-Regu" w:cs="NimbusSansL-Regu"/>
          <w:sz w:val="24"/>
          <w:szCs w:val="24"/>
        </w:rPr>
        <w:t>. Subrayas fuera de texto.</w:t>
      </w:r>
    </w:p>
    <w:p w:rsidR="00C554D9" w:rsidRDefault="00C554D9" w:rsidP="00C554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NimbusSansL-Regu" w:eastAsiaTheme="minorHAnsi" w:hAnsi="NimbusSansL-Regu" w:cs="NimbusSansL-Regu"/>
          <w:sz w:val="24"/>
          <w:szCs w:val="24"/>
        </w:rPr>
      </w:pPr>
    </w:p>
    <w:p w:rsidR="00C554D9" w:rsidRPr="00C554D9" w:rsidRDefault="00C554D9" w:rsidP="00C554D9">
      <w:pPr>
        <w:autoSpaceDE w:val="0"/>
        <w:autoSpaceDN w:val="0"/>
        <w:adjustRightInd w:val="0"/>
        <w:spacing w:after="0" w:line="240" w:lineRule="auto"/>
        <w:jc w:val="both"/>
        <w:rPr>
          <w:rFonts w:ascii="NimbusSansL-Regu" w:eastAsiaTheme="minorHAnsi" w:hAnsi="NimbusSansL-Regu" w:cs="NimbusSansL-Regu"/>
          <w:sz w:val="24"/>
          <w:szCs w:val="24"/>
          <w:u w:val="single"/>
        </w:rPr>
      </w:pPr>
      <w:r>
        <w:rPr>
          <w:rFonts w:ascii="NimbusSansL-Regu" w:eastAsiaTheme="minorHAnsi" w:hAnsi="NimbusSansL-Regu" w:cs="NimbusSansL-Regu"/>
          <w:sz w:val="24"/>
          <w:szCs w:val="24"/>
        </w:rPr>
        <w:t>Por lo expuesto, nos permitimos aducir que el contrato presentado por la firma ACUATUBOS S.A. puede ser considerado un contrato de naturaleza pública y aún más cuando se trata de una Alianza Fiduciaria cuyo propósito constituye aunar recursos púb</w:t>
      </w:r>
      <w:r w:rsidR="00CC0250">
        <w:rPr>
          <w:rFonts w:ascii="NimbusSansL-Regu" w:eastAsiaTheme="minorHAnsi" w:hAnsi="NimbusSansL-Regu" w:cs="NimbusSansL-Regu"/>
          <w:sz w:val="24"/>
          <w:szCs w:val="24"/>
        </w:rPr>
        <w:t>l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icos con el fin de lograr un propósito igualmente de interés público. Cabe recordar, </w:t>
      </w:r>
      <w:r w:rsidR="00AD7764">
        <w:rPr>
          <w:rFonts w:ascii="NimbusSansL-Regu" w:eastAsiaTheme="minorHAnsi" w:hAnsi="NimbusSansL-Regu" w:cs="NimbusSansL-Regu"/>
          <w:sz w:val="24"/>
          <w:szCs w:val="24"/>
        </w:rPr>
        <w:t>que la empresa PÚBLICA</w:t>
      </w:r>
      <w:r w:rsidR="00CC0250">
        <w:rPr>
          <w:rFonts w:ascii="NimbusSansL-Regu" w:eastAsiaTheme="minorHAnsi" w:hAnsi="NimbusSansL-Regu" w:cs="NimbusSansL-Regu"/>
          <w:sz w:val="24"/>
          <w:szCs w:val="24"/>
        </w:rPr>
        <w:t xml:space="preserve"> que se ve comprometida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dentro de esta </w:t>
      </w:r>
      <w:r w:rsidR="00CC0250">
        <w:rPr>
          <w:rFonts w:ascii="NimbusSansL-Regu" w:eastAsiaTheme="minorHAnsi" w:hAnsi="NimbusSansL-Regu" w:cs="NimbusSansL-Regu"/>
          <w:sz w:val="24"/>
          <w:szCs w:val="24"/>
        </w:rPr>
        <w:t xml:space="preserve">alianza fiduciaria es EMCALI EICE ESP. </w:t>
      </w:r>
      <w:r>
        <w:rPr>
          <w:rFonts w:ascii="NimbusSansL-Regu" w:eastAsiaTheme="minorHAnsi" w:hAnsi="NimbusSansL-Regu" w:cs="NimbusSansL-Regu"/>
          <w:sz w:val="24"/>
          <w:szCs w:val="24"/>
        </w:rPr>
        <w:t xml:space="preserve"> </w:t>
      </w:r>
    </w:p>
    <w:p w:rsidR="00AC293D" w:rsidRPr="00345ADD" w:rsidRDefault="00AC293D" w:rsidP="00AC293D">
      <w:pPr>
        <w:autoSpaceDE w:val="0"/>
        <w:autoSpaceDN w:val="0"/>
        <w:adjustRightInd w:val="0"/>
        <w:spacing w:after="0" w:line="240" w:lineRule="auto"/>
        <w:rPr>
          <w:rFonts w:ascii="NimbusSansL-Regu" w:eastAsiaTheme="minorHAnsi" w:hAnsi="NimbusSansL-Regu" w:cs="NimbusSansL-Regu"/>
          <w:sz w:val="24"/>
          <w:szCs w:val="24"/>
        </w:rPr>
      </w:pPr>
    </w:p>
    <w:p w:rsidR="00972C4B" w:rsidRPr="00380E91" w:rsidRDefault="00972C4B" w:rsidP="00972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  <w:r w:rsidRPr="00380E91">
        <w:rPr>
          <w:rFonts w:ascii="Arial" w:hAnsi="Arial" w:cs="Arial"/>
          <w:sz w:val="24"/>
          <w:lang w:val="es-ES"/>
        </w:rPr>
        <w:t xml:space="preserve">La presente se suscribe el día </w:t>
      </w:r>
      <w:r w:rsidR="00C554D9">
        <w:rPr>
          <w:rFonts w:ascii="Arial" w:hAnsi="Arial" w:cs="Arial"/>
          <w:sz w:val="24"/>
          <w:lang w:val="es-ES"/>
        </w:rPr>
        <w:t>veint</w:t>
      </w:r>
      <w:r w:rsidR="00AD7764">
        <w:rPr>
          <w:rFonts w:ascii="Arial" w:hAnsi="Arial" w:cs="Arial"/>
          <w:sz w:val="24"/>
          <w:lang w:val="es-ES"/>
        </w:rPr>
        <w:t>itrés</w:t>
      </w:r>
      <w:r w:rsidRPr="00380E91">
        <w:rPr>
          <w:rFonts w:ascii="Arial" w:hAnsi="Arial" w:cs="Arial"/>
          <w:sz w:val="24"/>
          <w:lang w:val="es-ES"/>
        </w:rPr>
        <w:t xml:space="preserve"> (</w:t>
      </w:r>
      <w:r w:rsidR="00C554D9">
        <w:rPr>
          <w:rFonts w:ascii="Arial" w:hAnsi="Arial" w:cs="Arial"/>
          <w:sz w:val="24"/>
          <w:lang w:val="es-ES"/>
        </w:rPr>
        <w:t>2</w:t>
      </w:r>
      <w:r w:rsidR="00AD7764">
        <w:rPr>
          <w:rFonts w:ascii="Arial" w:hAnsi="Arial" w:cs="Arial"/>
          <w:sz w:val="24"/>
          <w:lang w:val="es-ES"/>
        </w:rPr>
        <w:t>3</w:t>
      </w:r>
      <w:r w:rsidRPr="00380E91">
        <w:rPr>
          <w:rFonts w:ascii="Arial" w:hAnsi="Arial" w:cs="Arial"/>
          <w:sz w:val="24"/>
          <w:lang w:val="es-ES"/>
        </w:rPr>
        <w:t>) de octubre del año dos mil doce (2012).</w:t>
      </w:r>
    </w:p>
    <w:p w:rsidR="00972C4B" w:rsidRDefault="00972C4B" w:rsidP="00972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</w:p>
    <w:p w:rsidR="00972C4B" w:rsidRPr="00380E91" w:rsidRDefault="00972C4B" w:rsidP="00972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  <w:r w:rsidRPr="00380E91">
        <w:rPr>
          <w:rFonts w:ascii="Arial" w:hAnsi="Arial" w:cs="Arial"/>
          <w:sz w:val="24"/>
          <w:lang w:val="es-ES"/>
        </w:rPr>
        <w:t>Atentamente,</w:t>
      </w:r>
    </w:p>
    <w:p w:rsidR="00972C4B" w:rsidRPr="00380E91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972C4B" w:rsidRPr="00380E91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5F37CF" w:rsidRDefault="005F37CF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4"/>
          <w:lang w:val="es-ES"/>
        </w:rPr>
      </w:pPr>
    </w:p>
    <w:p w:rsidR="00AD7764" w:rsidRPr="005F37CF" w:rsidRDefault="005F37CF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4"/>
          <w:lang w:val="es-ES"/>
        </w:rPr>
      </w:pPr>
      <w:r w:rsidRPr="005F37CF">
        <w:rPr>
          <w:rFonts w:ascii="Arial" w:hAnsi="Arial" w:cs="Arial"/>
          <w:sz w:val="22"/>
          <w:szCs w:val="24"/>
          <w:lang w:val="es-ES"/>
        </w:rPr>
        <w:t>(ORIGINAL FIRMADO)</w:t>
      </w:r>
    </w:p>
    <w:p w:rsidR="00972C4B" w:rsidRPr="00990985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90985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972C4B" w:rsidRPr="00990985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90985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972C4B" w:rsidRPr="00990985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0985"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972C4B" w:rsidRPr="00B93357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972C4B" w:rsidRPr="00B93357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972C4B" w:rsidRPr="00B93357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972C4B" w:rsidRPr="00B93357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972C4B" w:rsidRPr="00293A98" w:rsidRDefault="00972C4B" w:rsidP="00972C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972C4B" w:rsidRDefault="00972C4B" w:rsidP="00972C4B"/>
    <w:p w:rsidR="00C15506" w:rsidRDefault="00C15506"/>
    <w:sectPr w:rsidR="00C15506" w:rsidSect="00C554D9"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7E" w:rsidRDefault="0053637E" w:rsidP="00B21F19">
      <w:pPr>
        <w:spacing w:after="0" w:line="240" w:lineRule="auto"/>
      </w:pPr>
      <w:r>
        <w:separator/>
      </w:r>
    </w:p>
  </w:endnote>
  <w:endnote w:type="continuationSeparator" w:id="0">
    <w:p w:rsidR="0053637E" w:rsidRDefault="0053637E" w:rsidP="00B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5579"/>
      <w:docPartObj>
        <w:docPartGallery w:val="Page Numbers (Bottom of Page)"/>
        <w:docPartUnique/>
      </w:docPartObj>
    </w:sdtPr>
    <w:sdtContent>
      <w:p w:rsidR="00C554D9" w:rsidRDefault="008F1FD1">
        <w:pPr>
          <w:pStyle w:val="Piedepgina"/>
          <w:jc w:val="center"/>
        </w:pPr>
        <w:fldSimple w:instr=" PAGE   \* MERGEFORMAT ">
          <w:r w:rsidR="005F37CF">
            <w:rPr>
              <w:noProof/>
            </w:rPr>
            <w:t>4</w:t>
          </w:r>
        </w:fldSimple>
      </w:p>
    </w:sdtContent>
  </w:sdt>
  <w:p w:rsidR="00C554D9" w:rsidRDefault="00C554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7E" w:rsidRDefault="0053637E" w:rsidP="00B21F19">
      <w:pPr>
        <w:spacing w:after="0" w:line="240" w:lineRule="auto"/>
      </w:pPr>
      <w:r>
        <w:separator/>
      </w:r>
    </w:p>
  </w:footnote>
  <w:footnote w:type="continuationSeparator" w:id="0">
    <w:p w:rsidR="0053637E" w:rsidRDefault="0053637E" w:rsidP="00B2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4B"/>
    <w:rsid w:val="00345ADD"/>
    <w:rsid w:val="004209DE"/>
    <w:rsid w:val="0053637E"/>
    <w:rsid w:val="005F37CF"/>
    <w:rsid w:val="008F1FD1"/>
    <w:rsid w:val="00972C4B"/>
    <w:rsid w:val="00A24337"/>
    <w:rsid w:val="00A36B74"/>
    <w:rsid w:val="00AC293D"/>
    <w:rsid w:val="00AD7764"/>
    <w:rsid w:val="00B21F19"/>
    <w:rsid w:val="00C15506"/>
    <w:rsid w:val="00C554D9"/>
    <w:rsid w:val="00CC0250"/>
    <w:rsid w:val="00D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72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972C4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7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C4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cp:lastPrinted>2012-10-23T13:11:00Z</cp:lastPrinted>
  <dcterms:created xsi:type="dcterms:W3CDTF">2012-10-22T22:13:00Z</dcterms:created>
  <dcterms:modified xsi:type="dcterms:W3CDTF">2012-10-23T13:11:00Z</dcterms:modified>
</cp:coreProperties>
</file>