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35" w:rsidRPr="0095370C" w:rsidRDefault="008E2A35" w:rsidP="008E2A35">
      <w:pPr>
        <w:jc w:val="center"/>
        <w:rPr>
          <w:rFonts w:ascii="Arial" w:hAnsi="Arial" w:cs="Arial"/>
          <w:b/>
          <w:iCs/>
          <w:sz w:val="24"/>
        </w:rPr>
      </w:pPr>
      <w:r w:rsidRPr="0095370C">
        <w:rPr>
          <w:rFonts w:ascii="Arial" w:hAnsi="Arial" w:cs="Arial"/>
          <w:b/>
          <w:iCs/>
          <w:sz w:val="24"/>
        </w:rPr>
        <w:t>ADENDA No. 01</w:t>
      </w:r>
    </w:p>
    <w:p w:rsidR="008E2A35" w:rsidRPr="0095370C" w:rsidRDefault="008E2A35" w:rsidP="008E2A35">
      <w:pPr>
        <w:jc w:val="center"/>
        <w:rPr>
          <w:rFonts w:ascii="Arial" w:hAnsi="Arial" w:cs="Arial"/>
          <w:b/>
          <w:iCs/>
          <w:sz w:val="24"/>
        </w:rPr>
      </w:pPr>
      <w:r w:rsidRPr="0095370C">
        <w:rPr>
          <w:rFonts w:ascii="Arial" w:hAnsi="Arial" w:cs="Arial"/>
          <w:b/>
          <w:iCs/>
          <w:sz w:val="24"/>
        </w:rPr>
        <w:t>INVITA</w:t>
      </w:r>
      <w:r>
        <w:rPr>
          <w:rFonts w:ascii="Arial" w:hAnsi="Arial" w:cs="Arial"/>
          <w:b/>
          <w:iCs/>
          <w:sz w:val="24"/>
        </w:rPr>
        <w:t>CIÓN PÚBLICA DE OFERTAS No. 0024</w:t>
      </w:r>
      <w:r w:rsidRPr="0095370C">
        <w:rPr>
          <w:rFonts w:ascii="Arial" w:hAnsi="Arial" w:cs="Arial"/>
          <w:b/>
          <w:iCs/>
          <w:sz w:val="24"/>
        </w:rPr>
        <w:t xml:space="preserve"> DE 2013</w:t>
      </w:r>
    </w:p>
    <w:p w:rsidR="008E2A35" w:rsidRPr="00051D5B" w:rsidRDefault="008E2A35" w:rsidP="008E2A35">
      <w:pPr>
        <w:jc w:val="center"/>
        <w:rPr>
          <w:rFonts w:ascii="Arial" w:hAnsi="Arial" w:cs="Arial"/>
          <w:b/>
          <w:iCs/>
        </w:rPr>
      </w:pPr>
    </w:p>
    <w:p w:rsidR="008E2A35" w:rsidRPr="00051D5B" w:rsidRDefault="008E2A35" w:rsidP="008E2A35">
      <w:pPr>
        <w:jc w:val="both"/>
        <w:rPr>
          <w:rFonts w:ascii="Arial" w:hAnsi="Arial" w:cs="Arial"/>
          <w:iCs/>
        </w:rPr>
      </w:pPr>
      <w:r w:rsidRPr="00051D5B">
        <w:rPr>
          <w:rFonts w:ascii="Arial" w:hAnsi="Arial" w:cs="Arial"/>
          <w:b/>
          <w:iCs/>
        </w:rPr>
        <w:t>OBJETO:</w:t>
      </w:r>
      <w:r w:rsidRPr="00051D5B">
        <w:rPr>
          <w:rFonts w:ascii="Arial" w:hAnsi="Arial" w:cs="Arial"/>
          <w:lang w:val="es-ES"/>
        </w:rPr>
        <w:t xml:space="preserve"> </w:t>
      </w:r>
      <w:r w:rsidRPr="007A0CFA">
        <w:rPr>
          <w:rFonts w:ascii="Arial" w:hAnsi="Arial" w:cs="Arial"/>
          <w:iCs/>
          <w:lang w:val="es-ES"/>
        </w:rPr>
        <w:t>Seleccionar, en aplicación de los trámites legales correspondientes al contratista para</w:t>
      </w:r>
      <w:r w:rsidRPr="007A0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7A0CFA">
        <w:rPr>
          <w:rFonts w:ascii="Arial" w:hAnsi="Arial" w:cs="Arial"/>
          <w:bCs/>
        </w:rPr>
        <w:t>REALIZACI</w:t>
      </w:r>
      <w:r>
        <w:rPr>
          <w:rFonts w:ascii="Arial" w:hAnsi="Arial" w:cs="Arial"/>
          <w:bCs/>
        </w:rPr>
        <w:t xml:space="preserve">ÓN DE LOS </w:t>
      </w:r>
      <w:r w:rsidRPr="007A0CFA">
        <w:rPr>
          <w:rFonts w:ascii="Arial" w:hAnsi="Arial" w:cs="Arial"/>
          <w:bCs/>
        </w:rPr>
        <w:t xml:space="preserve">ESTUDIOS Y DISEÑOS DE MANEJO DE AGUAS LLUVIAS PARA </w:t>
      </w:r>
      <w:r>
        <w:rPr>
          <w:rFonts w:ascii="Arial" w:hAnsi="Arial" w:cs="Arial"/>
          <w:bCs/>
        </w:rPr>
        <w:t xml:space="preserve">EL </w:t>
      </w:r>
      <w:r w:rsidRPr="007A0CFA">
        <w:rPr>
          <w:rFonts w:ascii="Arial" w:hAnsi="Arial" w:cs="Arial"/>
          <w:bCs/>
        </w:rPr>
        <w:t xml:space="preserve">CONTROL DE INUNDACIONES </w:t>
      </w:r>
      <w:r w:rsidRPr="007A0CFA">
        <w:rPr>
          <w:rFonts w:ascii="Arial" w:hAnsi="Arial" w:cs="Arial"/>
        </w:rPr>
        <w:t xml:space="preserve">EN LOS </w:t>
      </w:r>
      <w:r>
        <w:rPr>
          <w:rFonts w:ascii="Arial" w:hAnsi="Arial" w:cs="Arial"/>
        </w:rPr>
        <w:t>CUATRO</w:t>
      </w:r>
      <w:r w:rsidRPr="007A0CFA">
        <w:rPr>
          <w:rFonts w:ascii="Arial" w:hAnsi="Arial" w:cs="Arial"/>
        </w:rPr>
        <w:t xml:space="preserve"> SECTORES BARRIO LA EGIPCIACA, SECTOR LAS VILLAS</w:t>
      </w:r>
      <w:r>
        <w:rPr>
          <w:rFonts w:ascii="Arial" w:hAnsi="Arial" w:cs="Arial"/>
        </w:rPr>
        <w:t xml:space="preserve"> Y MAGDALENA </w:t>
      </w:r>
      <w:r w:rsidRPr="007A0CFA">
        <w:rPr>
          <w:rFonts w:ascii="Arial" w:hAnsi="Arial" w:cs="Arial"/>
        </w:rPr>
        <w:t>, EL SECTOR DE LA CALLE 16 A 22 ENTRE CARRERAS 2 A 4 Y EN LA ZONA DEL CAÑO LAVAPATAS</w:t>
      </w:r>
      <w:r w:rsidRPr="007A0CFA">
        <w:rPr>
          <w:rFonts w:ascii="Arial" w:hAnsi="Arial" w:cs="Arial"/>
          <w:bCs/>
        </w:rPr>
        <w:t xml:space="preserve"> EN EL MUNICIPIO DE LA DORADA </w:t>
      </w:r>
      <w:r w:rsidRPr="007A0CFA">
        <w:rPr>
          <w:rFonts w:ascii="Arial" w:hAnsi="Arial" w:cs="Arial"/>
        </w:rPr>
        <w:t>EN EL DEPARTAMENTO DE CALDAS.</w:t>
      </w:r>
    </w:p>
    <w:p w:rsidR="008E2A35" w:rsidRPr="007A0CFA" w:rsidRDefault="008E2A35" w:rsidP="008E2A35">
      <w:pPr>
        <w:jc w:val="both"/>
        <w:rPr>
          <w:rFonts w:ascii="Arial" w:hAnsi="Arial" w:cs="Arial"/>
          <w:lang w:val="es-MX"/>
        </w:rPr>
      </w:pPr>
      <w:r w:rsidRPr="00051D5B">
        <w:rPr>
          <w:rFonts w:ascii="Arial" w:hAnsi="Arial" w:cs="Arial"/>
          <w:b/>
          <w:iCs/>
        </w:rPr>
        <w:t>PRESUPUESTO OFICIAL:</w:t>
      </w:r>
      <w:r w:rsidRPr="00051D5B">
        <w:rPr>
          <w:rFonts w:ascii="Arial" w:hAnsi="Arial" w:cs="Arial"/>
          <w:iCs/>
          <w:lang w:val="es-ES"/>
        </w:rPr>
        <w:t xml:space="preserve"> </w:t>
      </w:r>
      <w:r w:rsidRPr="007A0CFA">
        <w:rPr>
          <w:rFonts w:ascii="Arial" w:hAnsi="Arial" w:cs="Arial"/>
          <w:iCs/>
          <w:lang w:val="es-ES"/>
        </w:rPr>
        <w:t>El presupuesto oficial del presente proceso de selección asciende a la suma de CUATROCIENTOS SESENTA Y UN MILLONES</w:t>
      </w:r>
      <w:r>
        <w:rPr>
          <w:rFonts w:ascii="Arial" w:hAnsi="Arial" w:cs="Arial"/>
          <w:iCs/>
          <w:lang w:val="es-ES"/>
        </w:rPr>
        <w:t xml:space="preserve"> </w:t>
      </w:r>
      <w:r w:rsidRPr="007A0CFA">
        <w:rPr>
          <w:rFonts w:ascii="Arial" w:hAnsi="Arial" w:cs="Arial"/>
          <w:color w:val="000000"/>
        </w:rPr>
        <w:t>OCHOCIENTOS CUARENTA MIL OCH</w:t>
      </w:r>
      <w:r>
        <w:rPr>
          <w:rFonts w:ascii="Arial" w:hAnsi="Arial" w:cs="Arial"/>
          <w:color w:val="000000"/>
        </w:rPr>
        <w:t>OCIENTOS DOCE PESOS MCTE. ($461.840.</w:t>
      </w:r>
      <w:r w:rsidRPr="007A0CFA">
        <w:rPr>
          <w:rFonts w:ascii="Arial" w:hAnsi="Arial" w:cs="Arial"/>
          <w:color w:val="000000"/>
        </w:rPr>
        <w:t>812</w:t>
      </w:r>
      <w:r>
        <w:rPr>
          <w:rFonts w:ascii="Arial" w:hAnsi="Arial" w:cs="Arial"/>
          <w:iCs/>
          <w:lang w:val="es-ES"/>
        </w:rPr>
        <w:t>)</w:t>
      </w:r>
      <w:r w:rsidRPr="007A0CFA">
        <w:rPr>
          <w:rFonts w:ascii="Arial" w:hAnsi="Arial" w:cs="Arial"/>
        </w:rPr>
        <w:t xml:space="preserve"> </w:t>
      </w:r>
      <w:r w:rsidRPr="007A0CFA">
        <w:rPr>
          <w:rFonts w:ascii="Arial" w:hAnsi="Arial" w:cs="Arial"/>
          <w:lang w:val="es-MX"/>
        </w:rPr>
        <w:t xml:space="preserve">incluido IVA. El precio propuesto por el consultor será fijo. </w:t>
      </w:r>
    </w:p>
    <w:p w:rsidR="0015024F" w:rsidRDefault="0015024F" w:rsidP="008E2A35">
      <w:pPr>
        <w:jc w:val="both"/>
        <w:rPr>
          <w:rFonts w:ascii="Arial" w:hAnsi="Arial" w:cs="Arial"/>
          <w:iCs/>
          <w:lang w:val="es-MX"/>
        </w:rPr>
      </w:pPr>
    </w:p>
    <w:p w:rsidR="008E2A35" w:rsidRPr="00051D5B" w:rsidRDefault="008E2A35" w:rsidP="008E2A35">
      <w:pPr>
        <w:jc w:val="both"/>
        <w:rPr>
          <w:rFonts w:ascii="Arial" w:hAnsi="Arial" w:cs="Arial"/>
          <w:lang w:val="es-ES"/>
        </w:rPr>
      </w:pPr>
      <w:r w:rsidRPr="00051D5B">
        <w:rPr>
          <w:rFonts w:ascii="Arial" w:hAnsi="Arial" w:cs="Arial"/>
          <w:lang w:val="es-ES"/>
        </w:rPr>
        <w:t xml:space="preserve">A través de la presente me permito </w:t>
      </w:r>
      <w:r w:rsidR="0015024F">
        <w:rPr>
          <w:rFonts w:ascii="Arial" w:hAnsi="Arial" w:cs="Arial"/>
          <w:lang w:val="es-ES"/>
        </w:rPr>
        <w:t>realizar una aclaración en relación a</w:t>
      </w:r>
      <w:r>
        <w:rPr>
          <w:rFonts w:ascii="Arial" w:hAnsi="Arial" w:cs="Arial"/>
          <w:lang w:val="es-ES"/>
        </w:rPr>
        <w:t xml:space="preserve"> la hora de </w:t>
      </w:r>
      <w:r w:rsidRPr="00051D5B">
        <w:rPr>
          <w:rFonts w:ascii="Arial" w:hAnsi="Arial" w:cs="Arial"/>
          <w:lang w:val="es-ES"/>
        </w:rPr>
        <w:t>entrega de las propuest</w:t>
      </w:r>
      <w:r>
        <w:rPr>
          <w:rFonts w:ascii="Arial" w:hAnsi="Arial" w:cs="Arial"/>
          <w:lang w:val="es-ES"/>
        </w:rPr>
        <w:t xml:space="preserve">as de la Invitación Pública </w:t>
      </w:r>
      <w:r w:rsidR="0015024F">
        <w:rPr>
          <w:rFonts w:ascii="Arial" w:hAnsi="Arial" w:cs="Arial"/>
          <w:lang w:val="es-ES"/>
        </w:rPr>
        <w:t xml:space="preserve">No. </w:t>
      </w:r>
      <w:r>
        <w:rPr>
          <w:rFonts w:ascii="Arial" w:hAnsi="Arial" w:cs="Arial"/>
          <w:lang w:val="es-ES"/>
        </w:rPr>
        <w:t>0024</w:t>
      </w:r>
      <w:r w:rsidRPr="00051D5B">
        <w:rPr>
          <w:rFonts w:ascii="Arial" w:hAnsi="Arial" w:cs="Arial"/>
          <w:lang w:val="es-ES"/>
        </w:rPr>
        <w:t xml:space="preserve"> de 2013,</w:t>
      </w:r>
      <w:r>
        <w:rPr>
          <w:rFonts w:ascii="Arial" w:hAnsi="Arial" w:cs="Arial"/>
          <w:lang w:val="es-ES"/>
        </w:rPr>
        <w:t xml:space="preserve"> dado que la plasmada en el pliego de condiciones definitivo contiene un error </w:t>
      </w:r>
      <w:r w:rsidR="0015024F">
        <w:rPr>
          <w:rFonts w:ascii="Arial" w:hAnsi="Arial" w:cs="Arial"/>
          <w:lang w:val="es-ES"/>
        </w:rPr>
        <w:t xml:space="preserve">involuntario </w:t>
      </w:r>
      <w:r>
        <w:rPr>
          <w:rFonts w:ascii="Arial" w:hAnsi="Arial" w:cs="Arial"/>
          <w:lang w:val="es-ES"/>
        </w:rPr>
        <w:t>de digitación.</w:t>
      </w:r>
      <w:r w:rsidR="0015024F">
        <w:rPr>
          <w:rFonts w:ascii="Arial" w:hAnsi="Arial" w:cs="Arial"/>
          <w:lang w:val="es-ES"/>
        </w:rPr>
        <w:t xml:space="preserve"> Debe entenderse que el cierre de una convocatoria pública se efectúa en horas laborales, no obstante se realiza la modificación en la hora de cierre </w:t>
      </w:r>
      <w:r w:rsidRPr="00051D5B">
        <w:rPr>
          <w:rFonts w:ascii="Arial" w:hAnsi="Arial" w:cs="Arial"/>
          <w:lang w:val="es-ES"/>
        </w:rPr>
        <w:t xml:space="preserve">de la siguiente manera </w:t>
      </w:r>
      <w:r w:rsidRPr="00051D5B">
        <w:rPr>
          <w:rFonts w:ascii="Arial" w:hAnsi="Arial" w:cs="Arial"/>
          <w:b/>
          <w:lang w:val="es-ES"/>
        </w:rPr>
        <w:t>(Capítulo 1, Numeral 10)</w:t>
      </w:r>
      <w:r w:rsidRPr="00051D5B">
        <w:rPr>
          <w:rFonts w:ascii="Arial" w:hAnsi="Arial" w:cs="Arial"/>
          <w:lang w:val="es-ES"/>
        </w:rPr>
        <w:t>:</w:t>
      </w:r>
    </w:p>
    <w:p w:rsidR="008E2A35" w:rsidRPr="00051D5B" w:rsidRDefault="008E2A35" w:rsidP="008E2A35">
      <w:pPr>
        <w:jc w:val="both"/>
        <w:rPr>
          <w:rFonts w:ascii="Arial" w:hAnsi="Arial" w:cs="Arial"/>
          <w:b/>
          <w:color w:val="0D0D0D"/>
        </w:rPr>
      </w:pPr>
      <w:r w:rsidRPr="00051D5B">
        <w:rPr>
          <w:rFonts w:ascii="Arial" w:hAnsi="Arial" w:cs="Arial"/>
          <w:color w:val="0D0D0D"/>
        </w:rPr>
        <w:t>“</w:t>
      </w:r>
      <w:r w:rsidRPr="00051D5B">
        <w:rPr>
          <w:rFonts w:ascii="Arial" w:hAnsi="Arial" w:cs="Arial"/>
          <w:b/>
          <w:color w:val="0D0D0D"/>
        </w:rPr>
        <w:t>10.</w:t>
      </w:r>
      <w:r w:rsidRPr="00051D5B">
        <w:rPr>
          <w:rFonts w:ascii="Arial" w:hAnsi="Arial" w:cs="Arial"/>
          <w:b/>
          <w:color w:val="0D0D0D"/>
        </w:rPr>
        <w:tab/>
        <w:t>CRONOGRAMA</w:t>
      </w:r>
    </w:p>
    <w:p w:rsidR="008E2A35" w:rsidRPr="00051D5B" w:rsidRDefault="008E2A35" w:rsidP="008E2A35">
      <w:pPr>
        <w:ind w:right="6"/>
        <w:jc w:val="both"/>
        <w:rPr>
          <w:rFonts w:ascii="Arial" w:hAnsi="Arial" w:cs="Arial"/>
          <w:color w:val="0D0D0D"/>
        </w:rPr>
      </w:pPr>
      <w:r w:rsidRPr="00051D5B">
        <w:rPr>
          <w:rFonts w:ascii="Arial" w:hAnsi="Arial" w:cs="Arial"/>
          <w:color w:val="0D0D0D"/>
        </w:rPr>
        <w:t>El siguiente es el cronograma del proceso: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73"/>
        <w:gridCol w:w="3739"/>
      </w:tblGrid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2A35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2273" w:type="dxa"/>
          </w:tcPr>
          <w:p w:rsidR="008E2A35" w:rsidRPr="008E2A35" w:rsidRDefault="008E2A35" w:rsidP="00D94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2A35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3739" w:type="dxa"/>
          </w:tcPr>
          <w:p w:rsidR="008E2A35" w:rsidRPr="008E2A35" w:rsidRDefault="008E2A35" w:rsidP="00D94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2A35">
              <w:rPr>
                <w:rFonts w:ascii="Arial" w:hAnsi="Arial" w:cs="Arial"/>
                <w:b/>
                <w:sz w:val="20"/>
              </w:rPr>
              <w:t>LUGAR</w:t>
            </w:r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Publicación aviso inicial de convocatoria pública en un diario de amplia circulación.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08 de febrero de 2013.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Diario La República.</w:t>
            </w:r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Aviso Inicial de Convocatoria Pública.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08 de febrero de 2013.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Página web de la entidad </w:t>
            </w:r>
            <w:hyperlink r:id="rId4" w:history="1">
              <w:r w:rsidRPr="008E2A35">
                <w:rPr>
                  <w:rStyle w:val="Hipervnculo"/>
                  <w:rFonts w:ascii="Arial" w:hAnsi="Arial" w:cs="Arial"/>
                  <w:sz w:val="20"/>
                </w:rPr>
                <w:t>www.empocaldas.com.co</w:t>
              </w:r>
            </w:hyperlink>
            <w:r w:rsidRPr="008E2A3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Publicación proyecto de pliego de condiciones.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Del 08 al 21 de febrero de 2013.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Página web de la entidad </w:t>
            </w:r>
            <w:hyperlink r:id="rId5" w:history="1">
              <w:r w:rsidRPr="008E2A35">
                <w:rPr>
                  <w:rStyle w:val="Hipervnculo"/>
                  <w:rFonts w:ascii="Arial" w:hAnsi="Arial" w:cs="Arial"/>
                  <w:sz w:val="20"/>
                </w:rPr>
                <w:t>www.empocaldas.com.co</w:t>
              </w:r>
            </w:hyperlink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Observaciones al proyecto de pliego de condiciones.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Del 08 al 21 de febrero de 2013.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Directamente y en físico 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8E2A35">
                <w:rPr>
                  <w:rFonts w:ascii="Arial" w:hAnsi="Arial" w:cs="Arial"/>
                  <w:sz w:val="20"/>
                </w:rPr>
                <w:t>la Secretaría General</w:t>
              </w:r>
            </w:smartTag>
            <w:r w:rsidRPr="008E2A35">
              <w:rPr>
                <w:rFonts w:ascii="Arial" w:hAnsi="Arial" w:cs="Arial"/>
                <w:sz w:val="20"/>
              </w:rPr>
              <w:t xml:space="preserve"> de EMPOCALDAS S.A. E.S.P.,  y en medio magnético al correo electrónico </w:t>
            </w:r>
            <w:hyperlink r:id="rId6" w:history="1">
              <w:r w:rsidRPr="008E2A35">
                <w:rPr>
                  <w:rStyle w:val="Hipervnculo"/>
                  <w:rFonts w:ascii="Arial" w:hAnsi="Arial" w:cs="Arial"/>
                  <w:sz w:val="20"/>
                </w:rPr>
                <w:t>observaciones@empocaldas.com.co</w:t>
              </w:r>
            </w:hyperlink>
          </w:p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lastRenderedPageBreak/>
              <w:t>Respuesta a las observaciones al proyecto de pliego de condiciones.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25 de febrero de 2013 a las 6:00 p.m.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Página web de la entidad </w:t>
            </w:r>
            <w:hyperlink r:id="rId7" w:history="1">
              <w:r w:rsidRPr="008E2A35">
                <w:rPr>
                  <w:rStyle w:val="Hipervnculo"/>
                  <w:rFonts w:ascii="Arial" w:hAnsi="Arial" w:cs="Arial"/>
                  <w:sz w:val="20"/>
                </w:rPr>
                <w:t>www.empocaldas.com.co</w:t>
              </w:r>
            </w:hyperlink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Resolución de apertura de la invitación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26 de febrero de 2013. 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Página web de la entidad </w:t>
            </w:r>
            <w:hyperlink r:id="rId8" w:history="1">
              <w:r w:rsidRPr="008E2A35">
                <w:rPr>
                  <w:rStyle w:val="Hipervnculo"/>
                  <w:rFonts w:ascii="Arial" w:hAnsi="Arial" w:cs="Arial"/>
                  <w:sz w:val="20"/>
                </w:rPr>
                <w:t>www.empocaldas.com.co</w:t>
              </w:r>
            </w:hyperlink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Publicación de los pliegos de condiciones definitivos 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Del 26 de febrero al 11 de marzo de 2013.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Página web de la entidad </w:t>
            </w:r>
            <w:hyperlink r:id="rId9" w:history="1">
              <w:r w:rsidRPr="008E2A35">
                <w:rPr>
                  <w:rStyle w:val="Hipervnculo"/>
                  <w:rFonts w:ascii="Arial" w:hAnsi="Arial" w:cs="Arial"/>
                  <w:sz w:val="20"/>
                </w:rPr>
                <w:t>www.empocaldas.com.co</w:t>
              </w:r>
            </w:hyperlink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Audiencia de tipificación, estimación y asignación de riesgos y aclaración de los pliegos de condiciones.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06 de marzo de 2013, a las 10:00 a.m.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Auditorio, EMPOCALDAS S.A. E.S.P., carrera 23 Nº 75-82 Manizales.</w:t>
            </w:r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Fecha de cierre para la entrega de propuestas. Publicación acta de cierre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8E2A35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El 12 de marzo de 2013 a las 10:00 </w:t>
            </w:r>
            <w:r w:rsidRPr="008E2A35">
              <w:rPr>
                <w:rFonts w:ascii="Arial" w:hAnsi="Arial" w:cs="Arial"/>
                <w:b/>
                <w:sz w:val="20"/>
                <w:u w:val="single"/>
              </w:rPr>
              <w:t>a</w:t>
            </w:r>
            <w:r w:rsidRPr="008E2A35">
              <w:rPr>
                <w:rFonts w:ascii="Arial" w:hAnsi="Arial" w:cs="Arial"/>
                <w:b/>
                <w:sz w:val="20"/>
                <w:u w:val="single"/>
              </w:rPr>
              <w:t>.m</w:t>
            </w:r>
            <w:r w:rsidRPr="008E2A35">
              <w:rPr>
                <w:rFonts w:ascii="Arial" w:hAnsi="Arial" w:cs="Arial"/>
                <w:sz w:val="20"/>
                <w:u w:val="single"/>
              </w:rPr>
              <w:t>.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Secretaría General de EMPOCALDAS S.A. E.S.P., carrera 23 Nº 75-82 Manizales.</w:t>
            </w:r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Evaluación de propuestas. Publicación informe de evaluación.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15 de marzo de 2013.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Página web de la entidad </w:t>
            </w:r>
            <w:hyperlink r:id="rId10" w:history="1">
              <w:r w:rsidRPr="008E2A35">
                <w:rPr>
                  <w:rStyle w:val="Hipervnculo"/>
                  <w:rFonts w:ascii="Arial" w:hAnsi="Arial" w:cs="Arial"/>
                  <w:sz w:val="20"/>
                </w:rPr>
                <w:t>www.empocaldas.com.co</w:t>
              </w:r>
            </w:hyperlink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Presentación de  observaciones al informe de evaluación.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Del 15 al 20 de marzo de 2013 hasta las 6:00 p.m.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Directamente en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8E2A35">
                <w:rPr>
                  <w:rFonts w:ascii="Arial" w:hAnsi="Arial" w:cs="Arial"/>
                  <w:sz w:val="20"/>
                </w:rPr>
                <w:t>la Secretaría General</w:t>
              </w:r>
            </w:smartTag>
            <w:r w:rsidRPr="008E2A35">
              <w:rPr>
                <w:rFonts w:ascii="Arial" w:hAnsi="Arial" w:cs="Arial"/>
                <w:sz w:val="20"/>
              </w:rPr>
              <w:t xml:space="preserve"> de EMPOCALDAS S.A. E.S.P., o al correo electrónico </w:t>
            </w:r>
            <w:hyperlink r:id="rId11" w:history="1">
              <w:r w:rsidRPr="008E2A35">
                <w:rPr>
                  <w:rStyle w:val="Hipervnculo"/>
                  <w:rFonts w:ascii="Arial" w:hAnsi="Arial" w:cs="Arial"/>
                  <w:sz w:val="20"/>
                </w:rPr>
                <w:t>observaciones@empocaldas.com.co</w:t>
              </w:r>
            </w:hyperlink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Respuesta a las observaciones del informe de evaluación. 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22 de marzo de 2013 a las 6:00 p.m.  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Página web de la entidad </w:t>
            </w:r>
            <w:hyperlink r:id="rId12" w:history="1">
              <w:r w:rsidRPr="008E2A35">
                <w:rPr>
                  <w:rStyle w:val="Hipervnculo"/>
                  <w:rFonts w:ascii="Arial" w:hAnsi="Arial" w:cs="Arial"/>
                  <w:sz w:val="20"/>
                </w:rPr>
                <w:t>www.empocaldas.com.co</w:t>
              </w:r>
            </w:hyperlink>
          </w:p>
        </w:tc>
      </w:tr>
      <w:tr w:rsidR="008E2A35" w:rsidRPr="008E2A35" w:rsidTr="00D9463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30" w:type="dxa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ADJUDICACIÓN</w:t>
            </w:r>
          </w:p>
        </w:tc>
        <w:tc>
          <w:tcPr>
            <w:tcW w:w="2273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>26 de marzo de 2013.</w:t>
            </w:r>
          </w:p>
        </w:tc>
        <w:tc>
          <w:tcPr>
            <w:tcW w:w="3739" w:type="dxa"/>
            <w:shd w:val="clear" w:color="auto" w:fill="auto"/>
          </w:tcPr>
          <w:p w:rsidR="008E2A35" w:rsidRPr="008E2A35" w:rsidRDefault="008E2A35" w:rsidP="00D94632">
            <w:pPr>
              <w:jc w:val="both"/>
              <w:rPr>
                <w:rFonts w:ascii="Arial" w:hAnsi="Arial" w:cs="Arial"/>
                <w:sz w:val="20"/>
              </w:rPr>
            </w:pPr>
            <w:r w:rsidRPr="008E2A35">
              <w:rPr>
                <w:rFonts w:ascii="Arial" w:hAnsi="Arial" w:cs="Arial"/>
                <w:sz w:val="20"/>
              </w:rPr>
              <w:t xml:space="preserve">Página web de la entidad </w:t>
            </w:r>
            <w:hyperlink r:id="rId13" w:history="1">
              <w:r w:rsidRPr="008E2A35">
                <w:rPr>
                  <w:rStyle w:val="Hipervnculo"/>
                  <w:rFonts w:ascii="Arial" w:hAnsi="Arial" w:cs="Arial"/>
                  <w:sz w:val="20"/>
                </w:rPr>
                <w:t>www.empocaldas.com.co</w:t>
              </w:r>
            </w:hyperlink>
          </w:p>
        </w:tc>
      </w:tr>
    </w:tbl>
    <w:p w:rsidR="008E2A35" w:rsidRDefault="008E2A35" w:rsidP="008E2A35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Este cronograma podrá sufrir variaciones en el desarrollo del proceso. Las variaciones se publicaran en la página Web de EMPOCALDAS S.A. E.S.P.”</w:t>
      </w:r>
    </w:p>
    <w:p w:rsidR="008E2A35" w:rsidRDefault="008E2A35" w:rsidP="008E2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el día once (11) de marzo del año dos mil trece (2013).</w:t>
      </w:r>
    </w:p>
    <w:p w:rsidR="008E2A35" w:rsidRDefault="008E2A35" w:rsidP="008E2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8E2A35" w:rsidRDefault="008E2A35" w:rsidP="008E2A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24F" w:rsidRPr="0015024F" w:rsidRDefault="0015024F" w:rsidP="008E2A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5024F">
        <w:rPr>
          <w:rFonts w:ascii="Arial" w:hAnsi="Arial" w:cs="Arial"/>
          <w:sz w:val="24"/>
          <w:szCs w:val="24"/>
          <w:lang w:val="es-ES"/>
        </w:rPr>
        <w:t>(ORIGINAL FIRMADO)</w:t>
      </w:r>
    </w:p>
    <w:p w:rsidR="008E2A35" w:rsidRDefault="008E2A35" w:rsidP="008E2A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ANDRÉS MAURICIO GAITÁN GUZMÁN</w:t>
      </w:r>
    </w:p>
    <w:p w:rsidR="008E2A35" w:rsidRPr="00051D5B" w:rsidRDefault="008E2A35" w:rsidP="008E2A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51D5B">
        <w:rPr>
          <w:rFonts w:ascii="Arial" w:hAnsi="Arial" w:cs="Arial"/>
          <w:sz w:val="24"/>
          <w:szCs w:val="24"/>
          <w:lang w:val="es-CO"/>
        </w:rPr>
        <w:t xml:space="preserve">Gerente </w:t>
      </w:r>
      <w:r>
        <w:rPr>
          <w:rFonts w:ascii="Arial" w:hAnsi="Arial" w:cs="Arial"/>
          <w:sz w:val="24"/>
          <w:szCs w:val="24"/>
          <w:lang w:val="es-CO"/>
        </w:rPr>
        <w:t>Suplente</w:t>
      </w:r>
    </w:p>
    <w:p w:rsidR="00D32823" w:rsidRPr="0015024F" w:rsidRDefault="008E2A35" w:rsidP="001502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EMPOCALDAS S.A. E.S.P.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  <w:t xml:space="preserve"> </w:t>
      </w:r>
      <w:r w:rsidR="0015024F">
        <w:rPr>
          <w:rFonts w:ascii="Arial" w:hAnsi="Arial" w:cs="Arial"/>
          <w:sz w:val="24"/>
          <w:szCs w:val="24"/>
          <w:lang w:val="es-CO"/>
        </w:rPr>
        <w:t xml:space="preserve">                         </w:t>
      </w:r>
      <w:r w:rsidRPr="00051D5B">
        <w:rPr>
          <w:rFonts w:ascii="Coronet" w:hAnsi="Coronet" w:cs="Arial"/>
          <w:sz w:val="16"/>
          <w:szCs w:val="16"/>
          <w:lang w:val="es-CO"/>
        </w:rPr>
        <w:t>K.S.L.C.</w:t>
      </w:r>
    </w:p>
    <w:sectPr w:rsidR="00D32823" w:rsidRPr="0015024F" w:rsidSect="00150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8E2A35"/>
    <w:rsid w:val="0015024F"/>
    <w:rsid w:val="008E2A35"/>
    <w:rsid w:val="00D3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3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8E2A35"/>
    <w:rPr>
      <w:color w:val="0000FF"/>
      <w:u w:val="single"/>
    </w:rPr>
  </w:style>
  <w:style w:type="paragraph" w:customStyle="1" w:styleId="DefaultText">
    <w:name w:val="Default Text"/>
    <w:basedOn w:val="Normal"/>
    <w:rsid w:val="008E2A35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caldas.com.co" TargetMode="External"/><Relationship Id="rId13" Type="http://schemas.openxmlformats.org/officeDocument/2006/relationships/hyperlink" Target="http://www.empocaldas.com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ocaldas.com.co" TargetMode="External"/><Relationship Id="rId12" Type="http://schemas.openxmlformats.org/officeDocument/2006/relationships/hyperlink" Target="http://www.empocalda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ervaciones@empocaldas.com.co" TargetMode="External"/><Relationship Id="rId11" Type="http://schemas.openxmlformats.org/officeDocument/2006/relationships/hyperlink" Target="mailto:observaciones@empocaldas.com.co" TargetMode="External"/><Relationship Id="rId5" Type="http://schemas.openxmlformats.org/officeDocument/2006/relationships/hyperlink" Target="http://www.empocaldas.com.c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mpocaldas.com.co" TargetMode="External"/><Relationship Id="rId4" Type="http://schemas.openxmlformats.org/officeDocument/2006/relationships/hyperlink" Target="http://www.empocaldas.com.co" TargetMode="External"/><Relationship Id="rId9" Type="http://schemas.openxmlformats.org/officeDocument/2006/relationships/hyperlink" Target="http://www.empocaldas.com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3496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2013-03-11T23:12:00Z</cp:lastPrinted>
  <dcterms:created xsi:type="dcterms:W3CDTF">2013-03-11T22:51:00Z</dcterms:created>
  <dcterms:modified xsi:type="dcterms:W3CDTF">2013-03-11T23:13:00Z</dcterms:modified>
</cp:coreProperties>
</file>